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B6" w:rsidRPr="003164B6" w:rsidRDefault="003164B6" w:rsidP="003164B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3164B6">
        <w:rPr>
          <w:rFonts w:ascii="Arial" w:hAnsi="Arial" w:cs="Arial"/>
          <w:color w:val="000000"/>
          <w:sz w:val="18"/>
          <w:szCs w:val="18"/>
          <w:lang w:val="en-US"/>
        </w:rPr>
        <w:t xml:space="preserve">Since the late eighties, Europe is facing a historic and ideological shift </w:t>
      </w:r>
      <w:r>
        <w:rPr>
          <w:rFonts w:ascii="Arial" w:hAnsi="Arial" w:cs="Arial"/>
          <w:color w:val="000000"/>
          <w:sz w:val="18"/>
          <w:szCs w:val="18"/>
          <w:lang w:val="en-US"/>
        </w:rPr>
        <w:t>in</w:t>
      </w:r>
      <w:r w:rsidRPr="003164B6">
        <w:rPr>
          <w:rFonts w:ascii="Arial" w:hAnsi="Arial" w:cs="Arial"/>
          <w:color w:val="000000"/>
          <w:sz w:val="18"/>
          <w:szCs w:val="18"/>
          <w:lang w:val="en-US"/>
        </w:rPr>
        <w:t xml:space="preserve"> the place of religion in governance. Since then, the question of the re-association of religions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has indeed raised anew</w:t>
      </w:r>
      <w:r w:rsidRPr="003164B6">
        <w:rPr>
          <w:rFonts w:ascii="Arial" w:hAnsi="Arial" w:cs="Arial"/>
          <w:color w:val="000000"/>
          <w:sz w:val="18"/>
          <w:szCs w:val="18"/>
          <w:lang w:val="en-US"/>
        </w:rPr>
        <w:t>, not so much at the level of decision making, but in the form of a dialogue with the European institutions and national and local authorities.</w:t>
      </w:r>
    </w:p>
    <w:p w:rsidR="003164B6" w:rsidRPr="003164B6" w:rsidRDefault="003164B6" w:rsidP="003164B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3164B6">
        <w:rPr>
          <w:rFonts w:ascii="Arial" w:hAnsi="Arial" w:cs="Arial"/>
          <w:color w:val="000000"/>
          <w:sz w:val="18"/>
          <w:szCs w:val="18"/>
          <w:lang w:val="en-US"/>
        </w:rPr>
        <w:t>Most of the literature focuses on sociological approaches (lobbying)</w:t>
      </w:r>
      <w:r>
        <w:rPr>
          <w:rFonts w:ascii="Arial" w:hAnsi="Arial" w:cs="Arial"/>
          <w:color w:val="000000"/>
          <w:sz w:val="18"/>
          <w:szCs w:val="18"/>
          <w:lang w:val="en-US"/>
        </w:rPr>
        <w:t>,</w:t>
      </w:r>
      <w:r w:rsidRPr="003164B6">
        <w:rPr>
          <w:rFonts w:ascii="Arial" w:hAnsi="Arial" w:cs="Arial"/>
          <w:color w:val="000000"/>
          <w:sz w:val="18"/>
          <w:szCs w:val="18"/>
          <w:lang w:val="en-US"/>
        </w:rPr>
        <w:t xml:space="preserve"> and 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on </w:t>
      </w:r>
      <w:r w:rsidRPr="003164B6">
        <w:rPr>
          <w:rFonts w:ascii="Arial" w:hAnsi="Arial" w:cs="Arial"/>
          <w:color w:val="000000"/>
          <w:sz w:val="18"/>
          <w:szCs w:val="18"/>
          <w:lang w:val="en-US"/>
        </w:rPr>
        <w:t xml:space="preserve">political philosophy (diversity of public rationality). The legal construction of religions participation remains largely </w:t>
      </w:r>
      <w:r>
        <w:rPr>
          <w:rFonts w:ascii="Arial" w:hAnsi="Arial" w:cs="Arial"/>
          <w:color w:val="000000"/>
          <w:sz w:val="18"/>
          <w:szCs w:val="18"/>
          <w:lang w:val="en-US"/>
        </w:rPr>
        <w:t>unsearched</w:t>
      </w:r>
      <w:r w:rsidRPr="003164B6">
        <w:rPr>
          <w:rFonts w:ascii="Arial" w:hAnsi="Arial" w:cs="Arial"/>
          <w:color w:val="000000"/>
          <w:sz w:val="18"/>
          <w:szCs w:val="18"/>
          <w:lang w:val="en-US"/>
        </w:rPr>
        <w:t xml:space="preserve">. Even 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the </w:t>
      </w:r>
      <w:r w:rsidRPr="003164B6">
        <w:rPr>
          <w:rFonts w:ascii="Arial" w:hAnsi="Arial" w:cs="Arial"/>
          <w:color w:val="000000"/>
          <w:sz w:val="18"/>
          <w:szCs w:val="18"/>
          <w:lang w:val="en-US"/>
        </w:rPr>
        <w:t xml:space="preserve">debates 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concerning, </w:t>
      </w:r>
      <w:r w:rsidRPr="003164B6">
        <w:rPr>
          <w:rFonts w:ascii="Arial" w:hAnsi="Arial" w:cs="Arial"/>
          <w:color w:val="000000"/>
          <w:sz w:val="18"/>
          <w:szCs w:val="18"/>
          <w:lang w:val="en-US"/>
        </w:rPr>
        <w:t xml:space="preserve">at 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the </w:t>
      </w:r>
      <w:r w:rsidRPr="003164B6">
        <w:rPr>
          <w:rFonts w:ascii="Arial" w:hAnsi="Arial" w:cs="Arial"/>
          <w:color w:val="000000"/>
          <w:sz w:val="18"/>
          <w:szCs w:val="18"/>
          <w:lang w:val="en-US"/>
        </w:rPr>
        <w:t xml:space="preserve">European level, the drafting of Article 17 TFEU </w:t>
      </w:r>
      <w:r>
        <w:rPr>
          <w:rFonts w:ascii="Arial" w:hAnsi="Arial" w:cs="Arial"/>
          <w:color w:val="000000"/>
          <w:sz w:val="18"/>
          <w:szCs w:val="18"/>
          <w:lang w:val="en-US"/>
        </w:rPr>
        <w:t>have long remained very general</w:t>
      </w:r>
      <w:r w:rsidRPr="003164B6">
        <w:rPr>
          <w:rFonts w:ascii="Arial" w:hAnsi="Arial" w:cs="Arial"/>
          <w:color w:val="000000"/>
          <w:sz w:val="18"/>
          <w:szCs w:val="18"/>
          <w:lang w:val="en-US"/>
        </w:rPr>
        <w:t xml:space="preserve">, theoretical, programmatic. In 2013, however, 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having </w:t>
      </w:r>
      <w:r w:rsidRPr="003164B6">
        <w:rPr>
          <w:rFonts w:ascii="Arial" w:hAnsi="Arial" w:cs="Arial"/>
          <w:color w:val="000000"/>
          <w:sz w:val="18"/>
          <w:szCs w:val="18"/>
          <w:lang w:val="en-US"/>
        </w:rPr>
        <w:t xml:space="preserve">received a complaint of European humanist movements, the Ombudsman of the European Union issued a ruling criticizing the modalities 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of the </w:t>
      </w:r>
      <w:r w:rsidRPr="003164B6">
        <w:rPr>
          <w:rFonts w:ascii="Arial" w:hAnsi="Arial" w:cs="Arial"/>
          <w:color w:val="000000"/>
          <w:sz w:val="18"/>
          <w:szCs w:val="18"/>
          <w:lang w:val="en-US"/>
        </w:rPr>
        <w:t>dialog</w:t>
      </w:r>
      <w:r w:rsidR="000847CB">
        <w:rPr>
          <w:rFonts w:ascii="Arial" w:hAnsi="Arial" w:cs="Arial"/>
          <w:color w:val="000000"/>
          <w:sz w:val="18"/>
          <w:szCs w:val="18"/>
          <w:lang w:val="en-US"/>
        </w:rPr>
        <w:t>ue</w:t>
      </w:r>
      <w:r w:rsidRPr="003164B6">
        <w:rPr>
          <w:rFonts w:ascii="Arial" w:hAnsi="Arial" w:cs="Arial"/>
          <w:color w:val="000000"/>
          <w:sz w:val="18"/>
          <w:szCs w:val="18"/>
          <w:lang w:val="en-US"/>
        </w:rPr>
        <w:t xml:space="preserve"> established by the President of the Commission. A new type of litigation is 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thus </w:t>
      </w:r>
      <w:r w:rsidRPr="003164B6">
        <w:rPr>
          <w:rFonts w:ascii="Arial" w:hAnsi="Arial" w:cs="Arial"/>
          <w:color w:val="000000"/>
          <w:sz w:val="18"/>
          <w:szCs w:val="18"/>
          <w:lang w:val="en-US"/>
        </w:rPr>
        <w:t>emerging</w:t>
      </w:r>
      <w:r>
        <w:rPr>
          <w:rFonts w:ascii="Arial" w:hAnsi="Arial" w:cs="Arial"/>
          <w:color w:val="000000"/>
          <w:sz w:val="18"/>
          <w:szCs w:val="18"/>
          <w:lang w:val="en-US"/>
        </w:rPr>
        <w:t>,</w:t>
      </w:r>
      <w:r w:rsidRPr="003164B6">
        <w:rPr>
          <w:rFonts w:ascii="Arial" w:hAnsi="Arial" w:cs="Arial"/>
          <w:color w:val="000000"/>
          <w:sz w:val="18"/>
          <w:szCs w:val="18"/>
          <w:lang w:val="en-US"/>
        </w:rPr>
        <w:t xml:space="preserve"> that is not specific to the European level, but gradually spread</w:t>
      </w:r>
      <w:r>
        <w:rPr>
          <w:rFonts w:ascii="Arial" w:hAnsi="Arial" w:cs="Arial"/>
          <w:color w:val="000000"/>
          <w:sz w:val="18"/>
          <w:szCs w:val="18"/>
          <w:lang w:val="en-US"/>
        </w:rPr>
        <w:t>s</w:t>
      </w:r>
      <w:r w:rsidRPr="003164B6">
        <w:rPr>
          <w:rFonts w:ascii="Arial" w:hAnsi="Arial" w:cs="Arial"/>
          <w:color w:val="000000"/>
          <w:sz w:val="18"/>
          <w:szCs w:val="18"/>
          <w:lang w:val="en-US"/>
        </w:rPr>
        <w:t xml:space="preserve"> to 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the </w:t>
      </w:r>
      <w:r w:rsidRPr="003164B6">
        <w:rPr>
          <w:rFonts w:ascii="Arial" w:hAnsi="Arial" w:cs="Arial"/>
          <w:color w:val="000000"/>
          <w:sz w:val="18"/>
          <w:szCs w:val="18"/>
          <w:lang w:val="en-US"/>
        </w:rPr>
        <w:t xml:space="preserve">national and local level. The </w:t>
      </w:r>
      <w:r w:rsidRPr="003164B6">
        <w:rPr>
          <w:rFonts w:ascii="Arial" w:hAnsi="Arial" w:cs="Arial"/>
          <w:color w:val="000000"/>
          <w:sz w:val="18"/>
          <w:szCs w:val="18"/>
          <w:lang w:val="en-US"/>
        </w:rPr>
        <w:t>judicialisation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3164B6">
        <w:rPr>
          <w:rFonts w:ascii="Arial" w:hAnsi="Arial" w:cs="Arial"/>
          <w:color w:val="000000"/>
          <w:sz w:val="18"/>
          <w:szCs w:val="18"/>
          <w:lang w:val="en-US"/>
        </w:rPr>
        <w:t xml:space="preserve">of 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the </w:t>
      </w:r>
      <w:r w:rsidRPr="003164B6">
        <w:rPr>
          <w:rFonts w:ascii="Arial" w:hAnsi="Arial" w:cs="Arial"/>
          <w:color w:val="000000"/>
          <w:sz w:val="18"/>
          <w:szCs w:val="18"/>
          <w:lang w:val="en-US"/>
        </w:rPr>
        <w:t>participation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of religions</w:t>
      </w:r>
      <w:r w:rsidRPr="003164B6">
        <w:rPr>
          <w:rFonts w:ascii="Arial" w:hAnsi="Arial" w:cs="Arial"/>
          <w:color w:val="000000"/>
          <w:sz w:val="18"/>
          <w:szCs w:val="18"/>
          <w:lang w:val="en-US"/>
        </w:rPr>
        <w:t xml:space="preserve"> in governance mechanisms is a new step in a historical process. This step helps to refine the analyzes, to discern </w:t>
      </w:r>
      <w:r>
        <w:rPr>
          <w:rFonts w:ascii="Arial" w:hAnsi="Arial" w:cs="Arial"/>
          <w:color w:val="000000"/>
          <w:sz w:val="18"/>
          <w:szCs w:val="18"/>
          <w:lang w:val="en-US"/>
        </w:rPr>
        <w:t>how</w:t>
      </w:r>
      <w:r w:rsidRPr="003164B6">
        <w:rPr>
          <w:rFonts w:ascii="Arial" w:hAnsi="Arial" w:cs="Arial"/>
          <w:color w:val="000000"/>
          <w:sz w:val="18"/>
          <w:szCs w:val="18"/>
          <w:lang w:val="en-US"/>
        </w:rPr>
        <w:t xml:space="preserve"> arguments are formalized, </w:t>
      </w:r>
      <w:r>
        <w:rPr>
          <w:rFonts w:ascii="Arial" w:hAnsi="Arial" w:cs="Arial"/>
          <w:color w:val="000000"/>
          <w:sz w:val="18"/>
          <w:szCs w:val="18"/>
          <w:lang w:val="en-US"/>
        </w:rPr>
        <w:t>and above all to enter i</w:t>
      </w:r>
      <w:r w:rsidRPr="003164B6">
        <w:rPr>
          <w:rFonts w:ascii="Arial" w:hAnsi="Arial" w:cs="Arial"/>
          <w:color w:val="000000"/>
          <w:sz w:val="18"/>
          <w:szCs w:val="18"/>
          <w:lang w:val="en-US"/>
        </w:rPr>
        <w:t xml:space="preserve">n a functional and realistic approach of the new </w:t>
      </w:r>
      <w:r>
        <w:rPr>
          <w:rFonts w:ascii="Arial" w:hAnsi="Arial" w:cs="Arial"/>
          <w:color w:val="000000"/>
          <w:sz w:val="18"/>
          <w:szCs w:val="18"/>
          <w:lang w:val="en-US"/>
        </w:rPr>
        <w:t>apparatus</w:t>
      </w:r>
      <w:r w:rsidRPr="003164B6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3164B6" w:rsidRPr="003164B6" w:rsidRDefault="003164B6" w:rsidP="003164B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3164B6">
        <w:rPr>
          <w:rFonts w:ascii="Arial" w:hAnsi="Arial" w:cs="Arial"/>
          <w:color w:val="000000"/>
          <w:sz w:val="18"/>
          <w:szCs w:val="18"/>
          <w:lang w:val="en-US"/>
        </w:rPr>
        <w:t xml:space="preserve">This paper aims to show </w:t>
      </w:r>
      <w:r w:rsidR="000847CB">
        <w:rPr>
          <w:rFonts w:ascii="Arial" w:hAnsi="Arial" w:cs="Arial"/>
          <w:color w:val="000000"/>
          <w:sz w:val="18"/>
          <w:szCs w:val="18"/>
          <w:lang w:val="en-US"/>
        </w:rPr>
        <w:t>that</w:t>
      </w:r>
      <w:r w:rsidRPr="003164B6">
        <w:rPr>
          <w:rFonts w:ascii="Arial" w:hAnsi="Arial" w:cs="Arial"/>
          <w:color w:val="000000"/>
          <w:sz w:val="18"/>
          <w:szCs w:val="18"/>
          <w:lang w:val="en-US"/>
        </w:rPr>
        <w:t xml:space="preserve"> the increasing attention paid by the European 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and </w:t>
      </w:r>
      <w:r w:rsidRPr="003164B6">
        <w:rPr>
          <w:rFonts w:ascii="Arial" w:hAnsi="Arial" w:cs="Arial"/>
          <w:color w:val="000000"/>
          <w:sz w:val="18"/>
          <w:szCs w:val="18"/>
          <w:lang w:val="en-US"/>
        </w:rPr>
        <w:t xml:space="preserve">international authorities </w:t>
      </w:r>
      <w:r>
        <w:rPr>
          <w:rFonts w:ascii="Arial" w:hAnsi="Arial" w:cs="Arial"/>
          <w:color w:val="000000"/>
          <w:sz w:val="18"/>
          <w:szCs w:val="18"/>
          <w:lang w:val="en-US"/>
        </w:rPr>
        <w:t>to the</w:t>
      </w:r>
      <w:r w:rsidRPr="003164B6">
        <w:rPr>
          <w:rFonts w:ascii="Arial" w:hAnsi="Arial" w:cs="Arial"/>
          <w:color w:val="000000"/>
          <w:sz w:val="18"/>
          <w:szCs w:val="18"/>
          <w:lang w:val="en-US"/>
        </w:rPr>
        <w:t xml:space="preserve"> dialogue with religions cannot be legally effective</w:t>
      </w:r>
      <w:r w:rsidR="000847CB">
        <w:rPr>
          <w:rFonts w:ascii="Arial" w:hAnsi="Arial" w:cs="Arial"/>
          <w:color w:val="000000"/>
          <w:sz w:val="18"/>
          <w:szCs w:val="18"/>
          <w:lang w:val="en-US"/>
        </w:rPr>
        <w:t>,</w:t>
      </w:r>
      <w:r w:rsidRPr="003164B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US"/>
        </w:rPr>
        <w:t>unless</w:t>
      </w:r>
      <w:r w:rsidRPr="003164B6">
        <w:rPr>
          <w:rFonts w:ascii="Arial" w:hAnsi="Arial" w:cs="Arial"/>
          <w:color w:val="000000"/>
          <w:sz w:val="18"/>
          <w:szCs w:val="18"/>
          <w:lang w:val="en-US"/>
        </w:rPr>
        <w:t xml:space="preserve"> it is accompanied by the development of a </w:t>
      </w:r>
      <w:r>
        <w:rPr>
          <w:rFonts w:ascii="Arial" w:hAnsi="Arial" w:cs="Arial"/>
          <w:color w:val="000000"/>
          <w:sz w:val="18"/>
          <w:szCs w:val="18"/>
          <w:lang w:val="en-US"/>
        </w:rPr>
        <w:t>precise</w:t>
      </w:r>
      <w:r w:rsidRPr="003164B6">
        <w:rPr>
          <w:rFonts w:ascii="Arial" w:hAnsi="Arial" w:cs="Arial"/>
          <w:color w:val="000000"/>
          <w:sz w:val="18"/>
          <w:szCs w:val="18"/>
          <w:lang w:val="en-US"/>
        </w:rPr>
        <w:t xml:space="preserve"> legal framing of national initiatives and local dialog. The contribution will analyze these first litigation</w:t>
      </w:r>
      <w:r w:rsidR="000847CB">
        <w:rPr>
          <w:rFonts w:ascii="Arial" w:hAnsi="Arial" w:cs="Arial"/>
          <w:color w:val="000000"/>
          <w:sz w:val="18"/>
          <w:szCs w:val="18"/>
          <w:lang w:val="en-US"/>
        </w:rPr>
        <w:t>s</w:t>
      </w:r>
      <w:r>
        <w:rPr>
          <w:rFonts w:ascii="Arial" w:hAnsi="Arial" w:cs="Arial"/>
          <w:color w:val="000000"/>
          <w:sz w:val="18"/>
          <w:szCs w:val="18"/>
          <w:lang w:val="en-US"/>
        </w:rPr>
        <w:t>,</w:t>
      </w:r>
      <w:r w:rsidRPr="003164B6">
        <w:rPr>
          <w:rFonts w:ascii="Arial" w:hAnsi="Arial" w:cs="Arial"/>
          <w:color w:val="000000"/>
          <w:sz w:val="18"/>
          <w:szCs w:val="18"/>
          <w:lang w:val="en-US"/>
        </w:rPr>
        <w:t xml:space="preserve"> in European comparative law</w:t>
      </w:r>
      <w:r>
        <w:rPr>
          <w:rFonts w:ascii="Arial" w:hAnsi="Arial" w:cs="Arial"/>
          <w:color w:val="000000"/>
          <w:sz w:val="18"/>
          <w:szCs w:val="18"/>
          <w:lang w:val="en-US"/>
        </w:rPr>
        <w:t>,</w:t>
      </w:r>
      <w:r w:rsidRPr="003164B6">
        <w:rPr>
          <w:rFonts w:ascii="Arial" w:hAnsi="Arial" w:cs="Arial"/>
          <w:color w:val="000000"/>
          <w:sz w:val="18"/>
          <w:szCs w:val="18"/>
          <w:lang w:val="en-US"/>
        </w:rPr>
        <w:t xml:space="preserve"> and 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will display </w:t>
      </w:r>
      <w:r w:rsidRPr="003164B6">
        <w:rPr>
          <w:rFonts w:ascii="Arial" w:hAnsi="Arial" w:cs="Arial"/>
          <w:color w:val="000000"/>
          <w:sz w:val="18"/>
          <w:szCs w:val="18"/>
          <w:lang w:val="en-US"/>
        </w:rPr>
        <w:t xml:space="preserve">the first contributions </w:t>
      </w:r>
      <w:r>
        <w:rPr>
          <w:rFonts w:ascii="Arial" w:hAnsi="Arial" w:cs="Arial"/>
          <w:color w:val="000000"/>
          <w:sz w:val="18"/>
          <w:szCs w:val="18"/>
          <w:lang w:val="en-US"/>
        </w:rPr>
        <w:t>that a</w:t>
      </w:r>
      <w:r w:rsidRPr="003164B6">
        <w:rPr>
          <w:rFonts w:ascii="Arial" w:hAnsi="Arial" w:cs="Arial"/>
          <w:color w:val="000000"/>
          <w:sz w:val="18"/>
          <w:szCs w:val="18"/>
          <w:lang w:val="en-US"/>
        </w:rPr>
        <w:t xml:space="preserve"> legal and judicial approach 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can offer of </w:t>
      </w:r>
      <w:r w:rsidRPr="003164B6">
        <w:rPr>
          <w:rFonts w:ascii="Arial" w:hAnsi="Arial" w:cs="Arial"/>
          <w:color w:val="000000"/>
          <w:sz w:val="18"/>
          <w:szCs w:val="18"/>
          <w:lang w:val="en-US"/>
        </w:rPr>
        <w:t>th</w:t>
      </w:r>
      <w:r>
        <w:rPr>
          <w:rFonts w:ascii="Arial" w:hAnsi="Arial" w:cs="Arial"/>
          <w:color w:val="000000"/>
          <w:sz w:val="18"/>
          <w:szCs w:val="18"/>
          <w:lang w:val="en-US"/>
        </w:rPr>
        <w:t>is</w:t>
      </w:r>
      <w:r w:rsidRPr="003164B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comeback of </w:t>
      </w:r>
      <w:r w:rsidRPr="003164B6">
        <w:rPr>
          <w:rFonts w:ascii="Arial" w:hAnsi="Arial" w:cs="Arial"/>
          <w:color w:val="000000"/>
          <w:sz w:val="18"/>
          <w:szCs w:val="18"/>
          <w:lang w:val="en-US"/>
        </w:rPr>
        <w:t>"a specific contribution of churches and religious communities [...]."</w:t>
      </w:r>
    </w:p>
    <w:p w:rsidR="003009E4" w:rsidRDefault="000847CB">
      <w:bookmarkStart w:id="0" w:name="_GoBack"/>
      <w:bookmarkEnd w:id="0"/>
    </w:p>
    <w:sectPr w:rsidR="00300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B6"/>
    <w:rsid w:val="00001908"/>
    <w:rsid w:val="000201FD"/>
    <w:rsid w:val="00060949"/>
    <w:rsid w:val="000760B0"/>
    <w:rsid w:val="000847CB"/>
    <w:rsid w:val="0009730A"/>
    <w:rsid w:val="000A3480"/>
    <w:rsid w:val="000C698A"/>
    <w:rsid w:val="000D6BB0"/>
    <w:rsid w:val="000E2EB3"/>
    <w:rsid w:val="000E5A65"/>
    <w:rsid w:val="001156A8"/>
    <w:rsid w:val="001552E1"/>
    <w:rsid w:val="001968F9"/>
    <w:rsid w:val="001B62A1"/>
    <w:rsid w:val="002006BF"/>
    <w:rsid w:val="00205573"/>
    <w:rsid w:val="00232892"/>
    <w:rsid w:val="00274CEE"/>
    <w:rsid w:val="002D0A1F"/>
    <w:rsid w:val="003164B6"/>
    <w:rsid w:val="00321E5C"/>
    <w:rsid w:val="00322CBC"/>
    <w:rsid w:val="00327C4B"/>
    <w:rsid w:val="00336EDC"/>
    <w:rsid w:val="003B1BDD"/>
    <w:rsid w:val="003E3EF0"/>
    <w:rsid w:val="003E4EA1"/>
    <w:rsid w:val="0042294E"/>
    <w:rsid w:val="00466039"/>
    <w:rsid w:val="00470B40"/>
    <w:rsid w:val="00475E33"/>
    <w:rsid w:val="004914F0"/>
    <w:rsid w:val="004A7F40"/>
    <w:rsid w:val="004C5967"/>
    <w:rsid w:val="005023DD"/>
    <w:rsid w:val="00534C61"/>
    <w:rsid w:val="00553196"/>
    <w:rsid w:val="00553416"/>
    <w:rsid w:val="005601AE"/>
    <w:rsid w:val="00575B79"/>
    <w:rsid w:val="005C2D5C"/>
    <w:rsid w:val="005C7162"/>
    <w:rsid w:val="00616FF3"/>
    <w:rsid w:val="00647B70"/>
    <w:rsid w:val="0065761E"/>
    <w:rsid w:val="0065772B"/>
    <w:rsid w:val="006B6DBC"/>
    <w:rsid w:val="006C6841"/>
    <w:rsid w:val="006E30E5"/>
    <w:rsid w:val="007315D3"/>
    <w:rsid w:val="00780DE5"/>
    <w:rsid w:val="00786F4A"/>
    <w:rsid w:val="007D52D4"/>
    <w:rsid w:val="00835D22"/>
    <w:rsid w:val="00845123"/>
    <w:rsid w:val="00863E38"/>
    <w:rsid w:val="008B011B"/>
    <w:rsid w:val="008D10D0"/>
    <w:rsid w:val="008F047F"/>
    <w:rsid w:val="009130D1"/>
    <w:rsid w:val="00921805"/>
    <w:rsid w:val="009C1143"/>
    <w:rsid w:val="009C2BE3"/>
    <w:rsid w:val="009C3F91"/>
    <w:rsid w:val="00A15EE0"/>
    <w:rsid w:val="00A25829"/>
    <w:rsid w:val="00A26422"/>
    <w:rsid w:val="00A44C1F"/>
    <w:rsid w:val="00A80F7B"/>
    <w:rsid w:val="00AA7B7A"/>
    <w:rsid w:val="00AB3C97"/>
    <w:rsid w:val="00AC7DBD"/>
    <w:rsid w:val="00AE21EF"/>
    <w:rsid w:val="00B24376"/>
    <w:rsid w:val="00B365F7"/>
    <w:rsid w:val="00B666BA"/>
    <w:rsid w:val="00B91555"/>
    <w:rsid w:val="00B97664"/>
    <w:rsid w:val="00BA631C"/>
    <w:rsid w:val="00BA699B"/>
    <w:rsid w:val="00BC500F"/>
    <w:rsid w:val="00C159FE"/>
    <w:rsid w:val="00C526A8"/>
    <w:rsid w:val="00C95117"/>
    <w:rsid w:val="00CC3C20"/>
    <w:rsid w:val="00CD2660"/>
    <w:rsid w:val="00CE7548"/>
    <w:rsid w:val="00CF446B"/>
    <w:rsid w:val="00D33366"/>
    <w:rsid w:val="00D34BB2"/>
    <w:rsid w:val="00D44764"/>
    <w:rsid w:val="00D44B32"/>
    <w:rsid w:val="00DA5931"/>
    <w:rsid w:val="00DD1180"/>
    <w:rsid w:val="00E04F3B"/>
    <w:rsid w:val="00E33B72"/>
    <w:rsid w:val="00E47676"/>
    <w:rsid w:val="00E711C8"/>
    <w:rsid w:val="00EB6B51"/>
    <w:rsid w:val="00EE05CC"/>
    <w:rsid w:val="00F064EE"/>
    <w:rsid w:val="00F11551"/>
    <w:rsid w:val="00F65EF0"/>
    <w:rsid w:val="00F95355"/>
    <w:rsid w:val="00FA529C"/>
    <w:rsid w:val="00FB0A1C"/>
    <w:rsid w:val="00FB4D7B"/>
    <w:rsid w:val="00F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AFFE"/>
  <w15:chartTrackingRefBased/>
  <w15:docId w15:val="{232C997D-7DE8-4F8B-9565-FDE8E3B8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86F4A"/>
    <w:pPr>
      <w:spacing w:after="0" w:line="240" w:lineRule="auto"/>
      <w:jc w:val="both"/>
    </w:pPr>
    <w:rPr>
      <w:rFonts w:ascii="Arial" w:hAnsi="Arial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E3E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E3E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4C61"/>
    <w:pPr>
      <w:jc w:val="left"/>
    </w:pPr>
    <w:rPr>
      <w:rFonts w:ascii="Calibri" w:hAnsi="Calibri" w:cstheme="minorBidi"/>
      <w:sz w:val="22"/>
      <w:szCs w:val="22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534C61"/>
    <w:rPr>
      <w:rFonts w:ascii="Calibri" w:hAnsi="Calibri"/>
    </w:rPr>
  </w:style>
  <w:style w:type="paragraph" w:customStyle="1" w:styleId="Normalatlas">
    <w:name w:val="Normal atlas"/>
    <w:basedOn w:val="Normal"/>
    <w:link w:val="NormalatlasCar"/>
    <w:autoRedefine/>
    <w:qFormat/>
    <w:rsid w:val="00FF0A18"/>
    <w:rPr>
      <w:rFonts w:cs="Arial"/>
      <w:sz w:val="22"/>
      <w:szCs w:val="18"/>
      <w:lang w:eastAsia="en-US" w:bidi="en-US"/>
    </w:rPr>
  </w:style>
  <w:style w:type="character" w:customStyle="1" w:styleId="NormalatlasCar">
    <w:name w:val="Normal atlas Car"/>
    <w:link w:val="Normalatlas"/>
    <w:rsid w:val="00FF0A18"/>
    <w:rPr>
      <w:rFonts w:ascii="Arial" w:hAnsi="Arial" w:cs="Arial"/>
      <w:szCs w:val="18"/>
      <w:lang w:bidi="en-US"/>
    </w:rPr>
  </w:style>
  <w:style w:type="paragraph" w:customStyle="1" w:styleId="Titre1atlas">
    <w:name w:val="Titre 1 atlas"/>
    <w:basedOn w:val="Titre1"/>
    <w:link w:val="Titre1atlasCar"/>
    <w:qFormat/>
    <w:rsid w:val="003E3EF0"/>
    <w:pPr>
      <w:keepLines w:val="0"/>
      <w:spacing w:after="60"/>
      <w:jc w:val="left"/>
    </w:pPr>
    <w:rPr>
      <w:rFonts w:ascii="Cambria" w:eastAsia="Times New Roman" w:hAnsi="Cambria" w:cs="Times New Roman"/>
      <w:b/>
      <w:bCs/>
      <w:color w:val="984806"/>
      <w:kern w:val="32"/>
      <w:sz w:val="24"/>
      <w:szCs w:val="24"/>
      <w:lang w:val="x-none" w:eastAsia="x-none"/>
    </w:rPr>
  </w:style>
  <w:style w:type="character" w:customStyle="1" w:styleId="Titre1atlasCar">
    <w:name w:val="Titre 1 atlas Car"/>
    <w:basedOn w:val="Titre1Car"/>
    <w:link w:val="Titre1atlas"/>
    <w:rsid w:val="003E3EF0"/>
    <w:rPr>
      <w:rFonts w:ascii="Cambria" w:eastAsiaTheme="majorEastAsia" w:hAnsi="Cambria" w:cs="Times New Roman"/>
      <w:b/>
      <w:bCs/>
      <w:color w:val="984806"/>
      <w:kern w:val="32"/>
      <w:sz w:val="24"/>
      <w:szCs w:val="24"/>
      <w:lang w:val="x-none" w:eastAsia="x-none"/>
    </w:rPr>
  </w:style>
  <w:style w:type="character" w:customStyle="1" w:styleId="Titre1Car">
    <w:name w:val="Titre 1 Car"/>
    <w:basedOn w:val="Policepardfaut"/>
    <w:link w:val="Titre1"/>
    <w:uiPriority w:val="9"/>
    <w:rsid w:val="003E3E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customStyle="1" w:styleId="Titre2atlas">
    <w:name w:val="Titre2 atlas"/>
    <w:basedOn w:val="Titre2"/>
    <w:link w:val="Titre2atlasCar"/>
    <w:qFormat/>
    <w:rsid w:val="003E3EF0"/>
    <w:pPr>
      <w:keepLines w:val="0"/>
      <w:spacing w:before="240" w:after="60"/>
      <w:ind w:left="708"/>
      <w:jc w:val="left"/>
    </w:pPr>
    <w:rPr>
      <w:rFonts w:ascii="Cambria" w:hAnsi="Cambria" w:cs="Times New Roman"/>
      <w:b/>
      <w:bCs/>
      <w:i/>
      <w:iCs/>
      <w:sz w:val="21"/>
      <w:szCs w:val="21"/>
      <w:lang w:val="x-none" w:eastAsia="x-none"/>
    </w:rPr>
  </w:style>
  <w:style w:type="character" w:customStyle="1" w:styleId="Titre2atlasCar">
    <w:name w:val="Titre2 atlas Car"/>
    <w:basedOn w:val="Titre2Car"/>
    <w:link w:val="Titre2atlas"/>
    <w:rsid w:val="003E3EF0"/>
    <w:rPr>
      <w:rFonts w:ascii="Cambria" w:eastAsiaTheme="majorEastAsia" w:hAnsi="Cambria" w:cs="Times New Roman"/>
      <w:b/>
      <w:bCs/>
      <w:i/>
      <w:iCs/>
      <w:color w:val="2E74B5" w:themeColor="accent1" w:themeShade="BF"/>
      <w:sz w:val="21"/>
      <w:szCs w:val="21"/>
      <w:lang w:val="x-none" w:eastAsia="x-none"/>
    </w:rPr>
  </w:style>
  <w:style w:type="character" w:customStyle="1" w:styleId="Titre2Car">
    <w:name w:val="Titre 2 Car"/>
    <w:basedOn w:val="Policepardfaut"/>
    <w:link w:val="Titre2"/>
    <w:uiPriority w:val="9"/>
    <w:semiHidden/>
    <w:rsid w:val="003E3E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customStyle="1" w:styleId="Style1atlas">
    <w:name w:val="Style1 atlas"/>
    <w:basedOn w:val="Normal"/>
    <w:link w:val="Style1atlasCar"/>
    <w:qFormat/>
    <w:rsid w:val="003E3EF0"/>
    <w:pPr>
      <w:jc w:val="center"/>
    </w:pPr>
    <w:rPr>
      <w:rFonts w:cs="Arial"/>
      <w:b/>
      <w:i/>
      <w:color w:val="E36C0A"/>
      <w:szCs w:val="21"/>
      <w:lang w:eastAsia="en-US"/>
    </w:rPr>
  </w:style>
  <w:style w:type="character" w:customStyle="1" w:styleId="Style1atlasCar">
    <w:name w:val="Style1 atlas Car"/>
    <w:basedOn w:val="Policepardfaut"/>
    <w:link w:val="Style1atlas"/>
    <w:rsid w:val="003E3EF0"/>
    <w:rPr>
      <w:rFonts w:ascii="Arial" w:hAnsi="Arial" w:cs="Arial"/>
      <w:b/>
      <w:i/>
      <w:color w:val="E36C0A"/>
      <w:sz w:val="24"/>
      <w:szCs w:val="21"/>
    </w:rPr>
  </w:style>
  <w:style w:type="paragraph" w:styleId="NormalWeb">
    <w:name w:val="Normal (Web)"/>
    <w:basedOn w:val="Normal"/>
    <w:uiPriority w:val="99"/>
    <w:unhideWhenUsed/>
    <w:rsid w:val="003164B6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</dc:creator>
  <cp:keywords/>
  <dc:description/>
  <cp:lastModifiedBy>Anne-Laure</cp:lastModifiedBy>
  <cp:revision>1</cp:revision>
  <dcterms:created xsi:type="dcterms:W3CDTF">2016-02-25T17:29:00Z</dcterms:created>
  <dcterms:modified xsi:type="dcterms:W3CDTF">2016-02-25T17:41:00Z</dcterms:modified>
</cp:coreProperties>
</file>